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textAlignment w:val="auto"/>
        <w:rPr>
          <w:rFonts w:hint="default" w:ascii="Times New Roman" w:hAnsi="Times New Roman" w:cs="Times New Roman"/>
          <w:color w:val="auto"/>
          <w:sz w:val="32"/>
          <w:szCs w:val="32"/>
        </w:rPr>
      </w:pPr>
      <w:r>
        <w:rPr>
          <w:rFonts w:hint="default" w:ascii="Times New Roman" w:hAnsi="Times New Roman" w:eastAsia="黑体" w:cs="Times New Roman"/>
          <w:snapToGrid w:val="0"/>
          <w:color w:val="auto"/>
          <w:sz w:val="32"/>
          <w:szCs w:val="32"/>
          <w:lang w:eastAsia="zh-CN"/>
        </w:rPr>
        <w:t>附件</w:t>
      </w:r>
      <w:r>
        <w:rPr>
          <w:rFonts w:hint="default" w:ascii="Times New Roman" w:hAnsi="Times New Roman" w:eastAsia="黑体" w:cs="Times New Roman"/>
          <w:snapToGrid w:val="0"/>
          <w:color w:val="auto"/>
          <w:sz w:val="32"/>
          <w:szCs w:val="32"/>
          <w:lang w:val="en-US" w:eastAsia="zh-CN"/>
        </w:rPr>
        <w:t>2</w:t>
      </w:r>
      <w:r>
        <w:rPr>
          <w:rFonts w:hint="default" w:ascii="仿宋_GB2312" w:hAnsi="仿宋_GB2312" w:eastAsia="黑体" w:cs="Times New Roman"/>
          <w:snapToGrid w:val="0"/>
          <w:color w:val="auto"/>
          <w:sz w:val="32"/>
          <w:szCs w:val="32"/>
          <w:lang w:val="en-US" w:eastAsia="zh-CN"/>
        </w:rPr>
        <w:t>-</w:t>
      </w:r>
      <w:r>
        <w:rPr>
          <w:rFonts w:hint="default" w:ascii="Times New Roman" w:hAnsi="Times New Roman" w:eastAsia="黑体" w:cs="Times New Roman"/>
          <w:snapToGrid w:val="0"/>
          <w:color w:val="auto"/>
          <w:sz w:val="32"/>
          <w:szCs w:val="32"/>
          <w:lang w:val="en-US" w:eastAsia="zh-CN"/>
        </w:rPr>
        <w:t>1</w:t>
      </w:r>
    </w:p>
    <w:p>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jc w:val="center"/>
        <w:textAlignment w:val="auto"/>
        <w:rPr>
          <w:rFonts w:hint="default" w:ascii="Times New Roman" w:hAnsi="Times New Roman" w:eastAsia="方正小标宋简体" w:cs="Times New Roman"/>
          <w:color w:val="auto"/>
          <w:sz w:val="44"/>
          <w:szCs w:val="44"/>
          <w:lang w:val="en-US" w:eastAsia="zh-CN"/>
        </w:rPr>
      </w:pPr>
      <w:bookmarkStart w:id="0" w:name="_GoBack"/>
      <w:r>
        <w:rPr>
          <w:rFonts w:hint="eastAsia" w:ascii="Times New Roman" w:hAnsi="Times New Roman" w:eastAsia="方正小标宋简体" w:cs="Times New Roman"/>
          <w:color w:val="auto"/>
          <w:sz w:val="44"/>
          <w:szCs w:val="44"/>
          <w:lang w:val="en-US" w:eastAsia="zh-CN"/>
        </w:rPr>
        <w:t>巴中市</w:t>
      </w:r>
      <w:r>
        <w:rPr>
          <w:rFonts w:hint="default" w:ascii="Times New Roman" w:hAnsi="Times New Roman" w:eastAsia="方正小标宋简体" w:cs="Times New Roman"/>
          <w:color w:val="auto"/>
          <w:sz w:val="44"/>
          <w:szCs w:val="44"/>
          <w:lang w:val="en-US" w:eastAsia="zh-CN"/>
        </w:rPr>
        <w:t>妇科类医疗服务项目价格</w:t>
      </w:r>
      <w:r>
        <w:rPr>
          <w:rFonts w:hint="eastAsia" w:ascii="Times New Roman" w:hAnsi="Times New Roman" w:eastAsia="方正小标宋简体" w:cs="Times New Roman"/>
          <w:color w:val="auto"/>
          <w:sz w:val="44"/>
          <w:szCs w:val="44"/>
          <w:lang w:val="en-US" w:eastAsia="zh-CN"/>
        </w:rPr>
        <w:t>及医保支付类别</w:t>
      </w:r>
      <w:r>
        <w:rPr>
          <w:rFonts w:hint="default" w:ascii="Times New Roman" w:hAnsi="Times New Roman" w:eastAsia="方正小标宋简体" w:cs="Times New Roman"/>
          <w:color w:val="auto"/>
          <w:sz w:val="44"/>
          <w:szCs w:val="44"/>
          <w:lang w:val="en-US" w:eastAsia="zh-CN"/>
        </w:rPr>
        <w:t>表</w:t>
      </w:r>
      <w:bookmarkEnd w:id="0"/>
    </w:p>
    <w:p>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方正小标宋简体" w:cs="Times New Roman"/>
          <w:color w:val="auto"/>
          <w:sz w:val="48"/>
          <w:szCs w:val="48"/>
          <w:lang w:val="en-US" w:eastAsia="zh-CN"/>
        </w:rPr>
      </w:pPr>
    </w:p>
    <w:tbl>
      <w:tblPr>
        <w:tblStyle w:val="3"/>
        <w:tblW w:w="14718" w:type="dxa"/>
        <w:jc w:val="center"/>
        <w:tblInd w:w="-249"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4718"/>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Ex>
        <w:trPr>
          <w:cantSplit/>
          <w:trHeight w:val="7270" w:hRule="atLeast"/>
          <w:jc w:val="center"/>
        </w:trPr>
        <w:tc>
          <w:tcPr>
            <w:tcW w:w="1471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260" w:lineRule="exact"/>
              <w:ind w:firstLine="0"/>
              <w:jc w:val="both"/>
              <w:textAlignment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color w:val="auto"/>
                <w:sz w:val="20"/>
                <w:szCs w:val="20"/>
                <w:u w:val="none"/>
                <w:lang w:val="en-US" w:eastAsia="zh-CN"/>
              </w:rPr>
              <w:t>使用说明：</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1.所定价格属于政府指导价为最高限价，下浮不限；同时，医疗机构、医务人员有关创新改良，可以采取“现有项目兼容”的方式简化处理，直接按照对应的整合项目执行即可。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2.“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3.“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相应的加/减收水平后，据实收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4.“扩展项”指同一项目下以不同方式提供或在不同场景应用时，只扩展价格项目适用范围、不额外加价的一类子项，子项的价格按主项目执行。</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5.“基本物耗”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注射器、可复用的操作器具、冲洗工具、冲洗液、扩阴器、润滑剂等。基本物耗成本计入项目价格，不另行收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6.价格构成中所称的“穿刺”为主项操作涉及的必要穿刺技术。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7.涉及“包括……”“…… 等”的，属于开放型表述，所指对象不仅局限于表述中列明的事项，也包括未列明的同类事项。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8.涉及的腹腔镜、宫腔镜等常规内镜下手术已包含在价格构成中，医疗机构在开展相关操作时，执行与开放手术相同的价格标准。</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9.手术项目若需病理取样，原项目的价格构成中已包含标本的留取和送检的人力资源和基本物质资源消耗。</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10.子宫相关价格项目，如患者为双子宫且需同时诊疗的，按两次收费计价。</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11.在诊疗项目服务中，除另有规定的，不足一个计价单位的按一个计价单位计算；一个服务项目在同一时间经多次操作方能完成，也应按一次计价。</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12.除另有规定的，诊疗项目中的活检均不含病理诊断的服务内容。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13.术中使用下列设备按所施手术服务价格加收:使用激光、微波、射频、冷冻方法治疗的加收50元；使用激光刀、高频电刀、双极电凝、氩氨刀、射频刀、微波刀加收7%；使用动力（切削、高速钻）系统加收10%；使用氩气刀、等离子刀按所施手术服务价格加收15%；使用大血管闭合系统加收</w:t>
            </w:r>
            <w:r>
              <w:rPr>
                <w:rFonts w:hint="eastAsia" w:ascii="Times New Roman" w:hAnsi="Times New Roman" w:eastAsia="宋体" w:cs="Times New Roman"/>
                <w:i w:val="0"/>
                <w:iCs w:val="0"/>
                <w:color w:val="auto"/>
                <w:sz w:val="20"/>
                <w:szCs w:val="20"/>
                <w:u w:val="none"/>
                <w:lang w:val="en-US" w:eastAsia="zh-CN"/>
              </w:rPr>
              <w:t>8</w:t>
            </w:r>
            <w:r>
              <w:rPr>
                <w:rFonts w:hint="default" w:ascii="Times New Roman" w:hAnsi="Times New Roman" w:eastAsia="宋体" w:cs="Times New Roman"/>
                <w:i w:val="0"/>
                <w:iCs w:val="0"/>
                <w:color w:val="auto"/>
                <w:sz w:val="20"/>
                <w:szCs w:val="20"/>
                <w:u w:val="none"/>
                <w:lang w:val="en-US" w:eastAsia="zh-CN"/>
              </w:rPr>
              <w:t>00元；使用水刀系统加收200元（一次性泵和手柄为除外内容）。辅助操作医疗服务价格项目立项指南落地后，以新的价格政策为准。</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14.同台不同疾病手术、同一切口不同疾病手术，按各项手术价格分别计费；同一疾病双侧器官同时实行的手术，在按相应单侧手术收费基础加收70%。麻醉费不再另外加收。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15.如病情需要再次手术，应在该项目计价基础上，按20%加收。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16.传染病患者实施手术加收100元特殊消毒费，特异性感染疾病（破伤风、绿脓杆菌、气性坏疽、艾滋病等）患者手术加收800元特殊消毒及处置费。</w:t>
            </w:r>
          </w:p>
          <w:p>
            <w:pPr>
              <w:keepNext w:val="0"/>
              <w:keepLines w:val="0"/>
              <w:pageBreakBefore w:val="0"/>
              <w:widowControl w:val="0"/>
              <w:suppressLineNumbers w:val="0"/>
              <w:kinsoku/>
              <w:wordWrap/>
              <w:overflowPunct/>
              <w:topLinePunct w:val="0"/>
              <w:autoSpaceDE/>
              <w:autoSpaceDN/>
              <w:bidi w:val="0"/>
              <w:adjustRightInd w:val="0"/>
              <w:snapToGrid w:val="0"/>
              <w:spacing w:line="260" w:lineRule="exact"/>
              <w:ind w:firstLine="0"/>
              <w:jc w:val="both"/>
              <w:textAlignment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snapToGrid w:val="0"/>
                <w:color w:val="auto"/>
                <w:kern w:val="21"/>
                <w:sz w:val="20"/>
                <w:szCs w:val="20"/>
                <w:u w:val="none"/>
                <w:lang w:val="en-US" w:eastAsia="zh-CN" w:bidi="ar"/>
              </w:rPr>
              <w:t>17.“儿童 ”指6周岁及以下。周岁的计算方法以法律的相关规定为准。</w:t>
            </w:r>
          </w:p>
        </w:tc>
      </w:tr>
    </w:tbl>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tbl>
      <w:tblPr>
        <w:tblStyle w:val="3"/>
        <w:tblW w:w="14755" w:type="dxa"/>
        <w:jc w:val="center"/>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1"/>
        <w:gridCol w:w="900"/>
        <w:gridCol w:w="917"/>
        <w:gridCol w:w="1655"/>
        <w:gridCol w:w="2924"/>
        <w:gridCol w:w="1000"/>
        <w:gridCol w:w="1116"/>
        <w:gridCol w:w="584"/>
        <w:gridCol w:w="1733"/>
        <w:gridCol w:w="579"/>
        <w:gridCol w:w="579"/>
        <w:gridCol w:w="579"/>
        <w:gridCol w:w="579"/>
        <w:gridCol w:w="583"/>
        <w:gridCol w:w="5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8" w:hRule="atLeast"/>
          <w:tblHeader/>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序号</w:t>
            </w:r>
          </w:p>
        </w:tc>
        <w:tc>
          <w:tcPr>
            <w:tcW w:w="90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项目编码</w:t>
            </w:r>
          </w:p>
        </w:tc>
        <w:tc>
          <w:tcPr>
            <w:tcW w:w="91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项目名称</w:t>
            </w:r>
          </w:p>
        </w:tc>
        <w:tc>
          <w:tcPr>
            <w:tcW w:w="16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服务产出</w:t>
            </w:r>
          </w:p>
        </w:tc>
        <w:tc>
          <w:tcPr>
            <w:tcW w:w="2924"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价格构成</w:t>
            </w:r>
          </w:p>
        </w:tc>
        <w:tc>
          <w:tcPr>
            <w:tcW w:w="100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加收项</w:t>
            </w:r>
          </w:p>
        </w:tc>
        <w:tc>
          <w:tcPr>
            <w:tcW w:w="111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扩展项</w:t>
            </w:r>
          </w:p>
        </w:tc>
        <w:tc>
          <w:tcPr>
            <w:tcW w:w="584"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计价</w:t>
            </w:r>
            <w:r>
              <w:rPr>
                <w:rFonts w:hint="eastAsia" w:ascii="方正黑体_GBK" w:hAnsi="方正黑体_GBK" w:eastAsia="方正黑体_GBK" w:cs="方正黑体_GBK"/>
                <w:b w:val="0"/>
                <w:bCs w:val="0"/>
                <w:i w:val="0"/>
                <w:iCs w:val="0"/>
                <w:color w:val="000000"/>
                <w:kern w:val="0"/>
                <w:sz w:val="20"/>
                <w:szCs w:val="20"/>
                <w:u w:val="none"/>
                <w:lang w:val="en-US" w:eastAsia="zh-CN" w:bidi="ar"/>
              </w:rPr>
              <w:br w:type="textWrapping"/>
            </w:r>
            <w:r>
              <w:rPr>
                <w:rFonts w:hint="eastAsia" w:ascii="方正黑体_GBK" w:hAnsi="方正黑体_GBK" w:eastAsia="方正黑体_GBK" w:cs="方正黑体_GBK"/>
                <w:b w:val="0"/>
                <w:bCs w:val="0"/>
                <w:i w:val="0"/>
                <w:iCs w:val="0"/>
                <w:color w:val="000000"/>
                <w:kern w:val="0"/>
                <w:sz w:val="20"/>
                <w:szCs w:val="20"/>
                <w:u w:val="none"/>
                <w:lang w:val="en-US" w:eastAsia="zh-CN" w:bidi="ar"/>
              </w:rPr>
              <w:t>单位</w:t>
            </w:r>
          </w:p>
        </w:tc>
        <w:tc>
          <w:tcPr>
            <w:tcW w:w="1733"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计价说明</w:t>
            </w:r>
          </w:p>
        </w:tc>
        <w:tc>
          <w:tcPr>
            <w:tcW w:w="2899"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巴中市公立医疗机构价格（元）</w:t>
            </w:r>
          </w:p>
        </w:tc>
        <w:tc>
          <w:tcPr>
            <w:tcW w:w="55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医保支付类别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tblHeader/>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900"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91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655"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2924"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000"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116"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584"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733"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三甲</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三乙</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二甲</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二乙</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二乙</w:t>
            </w:r>
            <w:r>
              <w:rPr>
                <w:rFonts w:hint="eastAsia" w:ascii="方正黑体_GBK" w:hAnsi="方正黑体_GBK" w:eastAsia="方正黑体_GBK" w:cs="方正黑体_GBK"/>
                <w:b w:val="0"/>
                <w:bCs w:val="0"/>
                <w:i w:val="0"/>
                <w:iCs w:val="0"/>
                <w:color w:val="000000"/>
                <w:kern w:val="0"/>
                <w:sz w:val="20"/>
                <w:szCs w:val="20"/>
                <w:u w:val="none"/>
                <w:lang w:val="en-US" w:eastAsia="zh-CN" w:bidi="ar"/>
              </w:rPr>
              <w:br w:type="textWrapping"/>
            </w:r>
            <w:r>
              <w:rPr>
                <w:rFonts w:hint="eastAsia" w:ascii="方正黑体_GBK" w:hAnsi="方正黑体_GBK" w:eastAsia="方正黑体_GBK" w:cs="方正黑体_GBK"/>
                <w:b w:val="0"/>
                <w:bCs w:val="0"/>
                <w:i w:val="0"/>
                <w:iCs w:val="0"/>
                <w:color w:val="000000"/>
                <w:kern w:val="0"/>
                <w:sz w:val="20"/>
                <w:szCs w:val="20"/>
                <w:u w:val="none"/>
                <w:lang w:val="en-US" w:eastAsia="zh-CN" w:bidi="ar"/>
              </w:rPr>
              <w:t>以下</w:t>
            </w:r>
          </w:p>
        </w:tc>
        <w:tc>
          <w:tcPr>
            <w:tcW w:w="556"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4755" w:type="dxa"/>
            <w:gridSpan w:val="15"/>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left"/>
              <w:rPr>
                <w:rFonts w:hint="eastAsia" w:ascii="Arial" w:hAnsi="Arial" w:cs="Arial"/>
                <w:b w:val="0"/>
                <w:bCs w:val="0"/>
                <w:i w:val="0"/>
                <w:iCs w:val="0"/>
                <w:color w:val="000000"/>
                <w:sz w:val="20"/>
                <w:szCs w:val="20"/>
                <w:u w:val="none"/>
              </w:rPr>
            </w:pPr>
            <w:r>
              <w:rPr>
                <w:rFonts w:ascii="黑体" w:hAnsi="宋体" w:eastAsia="黑体" w:cs="黑体"/>
                <w:b w:val="0"/>
                <w:bCs w:val="0"/>
                <w:i w:val="0"/>
                <w:iCs w:val="0"/>
                <w:color w:val="000000"/>
                <w:kern w:val="0"/>
                <w:sz w:val="20"/>
                <w:szCs w:val="20"/>
                <w:u w:val="none"/>
                <w:lang w:val="en-US" w:eastAsia="zh-CN" w:bidi="ar"/>
              </w:rPr>
              <w:t>临床诊查类项目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7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w:t>
            </w:r>
          </w:p>
        </w:tc>
        <w:tc>
          <w:tcPr>
            <w:tcW w:w="9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Arial" w:hAnsi="Arial" w:cs="Arial"/>
                <w:b w:val="0"/>
                <w:bCs w:val="0"/>
                <w:i w:val="0"/>
                <w:iCs w:val="0"/>
                <w:color w:val="000000"/>
                <w:sz w:val="20"/>
                <w:szCs w:val="20"/>
                <w:u w:val="none"/>
              </w:rPr>
            </w:pPr>
            <w:r>
              <w:rPr>
                <w:rFonts w:hint="eastAsia" w:ascii="宋体" w:hAnsi="宋体" w:eastAsia="宋体" w:cs="宋体"/>
                <w:b w:val="0"/>
                <w:bCs w:val="0"/>
                <w:i w:val="0"/>
                <w:iCs w:val="0"/>
                <w:color w:val="000000"/>
                <w:sz w:val="20"/>
                <w:szCs w:val="20"/>
                <w:u w:val="none"/>
              </w:rPr>
              <w:t>51</w:t>
            </w:r>
            <w:r>
              <w:rPr>
                <w:rFonts w:hint="eastAsia" w:ascii="宋体" w:hAnsi="宋体" w:eastAsia="宋体" w:cs="宋体"/>
                <w:b w:val="0"/>
                <w:bCs w:val="0"/>
                <w:i w:val="0"/>
                <w:iCs w:val="0"/>
                <w:color w:val="000000"/>
                <w:kern w:val="0"/>
                <w:sz w:val="20"/>
                <w:szCs w:val="20"/>
                <w:u w:val="none"/>
                <w:lang w:val="en-US" w:eastAsia="zh-CN" w:bidi="ar"/>
              </w:rPr>
              <w:t>2413000010000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盆腔检查</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通过视诊、触诊检查女性内、外生殖器、盆腔（外阴、阴道、宫颈、子宫及双附件）的形态、功能及病理状态。</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所定价格涵盖准备、摆位、消毒、视诊、触诊、记录处理用物等步骤所需的人力资源和基本物质资源消耗。必要时行三合诊检查。</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阴道镜检查费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通过阴道镜检查外阴、阴道及宫颈外观形态、组织结构等。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所定价格涵盖消毒、置镜、观察、记录、处理用物、出具报告，必要时取样等步骤所需的人力资源和基本物质资源消耗。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宫颈内口检查费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通过视诊、触诊检查女性宫颈内口松弛程度等。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所定价格涵盖准备、摆位、消毒、视诊、触诊、记录、处理用物等步骤所需的人力资源和基本物质资源消耗。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宫腔镜检查费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通过宫腔镜（ 阴道内镜）检查宫颈及宫腔内形态、组织结构等。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所定价格涵盖消毒、置镜、观察、记录、处理用物、出具报告，必要时取样等步骤所需的人力资源和基本物质资源消耗。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336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输卵管镜检查费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通过输卵管镜检查输卵管内部管腔形态、组织结构等。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所定价格涵盖消毒、置镜、观察、记录、处理用物、出具报告，必要时取样等步骤所需的人力资源和基本物质资源消耗。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jc w:val="center"/>
        </w:trPr>
        <w:tc>
          <w:tcPr>
            <w:tcW w:w="14755" w:type="dxa"/>
            <w:gridSpan w:val="15"/>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left"/>
              <w:rPr>
                <w:rFonts w:hint="default" w:ascii="Arial" w:hAnsi="Arial" w:cs="Arial"/>
                <w:b w:val="0"/>
                <w:bCs w:val="0"/>
                <w:i w:val="0"/>
                <w:iCs w:val="0"/>
                <w:color w:val="000000"/>
                <w:sz w:val="20"/>
                <w:szCs w:val="20"/>
                <w:u w:val="none"/>
              </w:rPr>
            </w:pPr>
            <w:r>
              <w:rPr>
                <w:rFonts w:ascii="黑体" w:hAnsi="宋体" w:eastAsia="黑体" w:cs="黑体"/>
                <w:b w:val="0"/>
                <w:bCs w:val="0"/>
                <w:i w:val="0"/>
                <w:iCs w:val="0"/>
                <w:color w:val="000000"/>
                <w:kern w:val="0"/>
                <w:sz w:val="20"/>
                <w:szCs w:val="20"/>
                <w:u w:val="none"/>
                <w:lang w:val="en-US" w:eastAsia="zh-CN" w:bidi="ar"/>
              </w:rPr>
              <w:t>非手术治疗类项目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2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妇科常规治疗费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通过各种操作对外阴、阴道或宫颈等部位进行的常规治疗。</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所定价格涵盖准备、消毒、治疗、处理用物等步骤所需的人力资源和基本物质资源消耗。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部位</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1.部位指外阴、阴道、宫颈。</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2.常规治疗包括但不限于填塞、上药、冲洗、灌洗、注射等各类治疗方式。</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妇科特殊治疗费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通过各类方式对外阴、阴道或宫颈等部位的浅表病变进行的特殊治疗。</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所定价格涵盖准备、消毒、治疗、处理用物等步骤所需的人力资源和基本物质资源消耗。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部位</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1.部位指外阴、阴道、宫颈。</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2.特殊治疗包括但不限于射频、微波、红外线、激光（包括光动力）、电熨、液氮、臭氧等各类治疗方式。</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20"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阴道异物取出费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通过各种方式取出阴道异物。</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所定价格涵盖初步评估、取出异物、处理用物等步骤所需的人力资源和基本物质资源消耗。</w:t>
            </w:r>
          </w:p>
        </w:tc>
        <w:tc>
          <w:tcPr>
            <w:tcW w:w="10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儿童加收</w:t>
            </w: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使用宫腔镜（ 阴道内镜）进行阴道异物取出时，按照“ 阴道异物取出费”+“ 宫腔镜检查费”收费。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013112010130001</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阴道异物取出费-儿童（加收）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使用宫腔镜（ 阴道内镜）进行阴道异物取出时，按照“ 阴道异物取出费”+“ 宫腔镜检查费”收费。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子宫托治疗费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通过放置子宫托治疗盆腔器官脱垂及尿失禁等。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所定价格涵盖评估、指导患者适配、放置、取出、后期维护等步骤所需的人力资源和基本物质资源消耗。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穿刺费（后穹窿）</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对后穹窿部位实施穿刺。</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所定价格涵盖准备、消毒、穿刺、抽吸、处理用物，必要时注药等步骤所需的人力资源和基本物质资源消耗。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穿刺费（卵巢）</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对卵巢实施穿刺。</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所定价格涵盖准备、消毒、穿刺、抽吸、处理用物，必要时注药等步骤所需的人力资源和基本物质资源消耗。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471</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宫腔灌洗费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通过插管灌洗，清除宫腔内积血、积液或积脓。</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所定价格涵盖消毒、插管、灌洗、拔管、处理用物，必要时注药、放置引流物等步骤所需的人力资源和基本物质资源消耗。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子宫内翻手法复位费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通过手法将内翻子宫复位。</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所定价格涵盖准备、消毒、手法复位、处理用物等步骤所需的人力资源和基本物质资源消耗。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7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将活性卵巢组织进行冷冻保存。</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所定价格涵盖卵巢组织处理、筛选、转移至冷冻载体、冷冻等过程中所需的人力资源和基本物质资源消耗。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卵巢组织冷冻价格含当天起保存 2 个月的费用，不足 2个月按 2 个月收费。冻存结束前只收取一次。</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3600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3240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0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013112010200000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卵巢组织冷冻续存费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将冷冻后的卵巢组织续存。</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所定价格涵盖将冷冻后的卵巢组织持续冻存至解冻复苏前或约定截止保存时间，期间所需的人力资源和基本物质资源消耗。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月</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卵巢组织冷冻后保存超过 2个月的，按每月收取续存费用，不足 1 个月按 1 个月收费。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013112010210000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卵巢组织解冻费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将冷冻后的卵巢组织恢复至室温。</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所定价格涵盖将冷冻的卵巢组织按程序恢复至室温过程中所需的人力资源和基本物质资源消耗。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2363</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2101</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013112010220000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盆底功能手法治疗费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通过手法等方式改善盆底功能。</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所定价格涵盖计划制定、手法治疗、功能训练、处理用物等步骤所需的人力资源和基本物质资源消耗。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半小</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时</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1.半小时后每增加 10 分钟加收 20% ，每日费用加收不超过 60%。</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2.采用电、磁等各种物理方法进行盆底功能治疗的，统一按照 “物理治疗”类立项指南的相关项目收费。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126</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7" w:hRule="atLeast"/>
          <w:jc w:val="center"/>
        </w:trPr>
        <w:tc>
          <w:tcPr>
            <w:tcW w:w="14755" w:type="dxa"/>
            <w:gridSpan w:val="15"/>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left"/>
              <w:rPr>
                <w:rFonts w:hint="default" w:ascii="Arial" w:hAnsi="Arial" w:cs="Arial"/>
                <w:b w:val="0"/>
                <w:bCs w:val="0"/>
                <w:i w:val="0"/>
                <w:iCs w:val="0"/>
                <w:color w:val="000000"/>
                <w:sz w:val="20"/>
                <w:szCs w:val="20"/>
                <w:u w:val="none"/>
              </w:rPr>
            </w:pPr>
            <w:r>
              <w:rPr>
                <w:rFonts w:ascii="黑体" w:hAnsi="宋体" w:eastAsia="黑体" w:cs="黑体"/>
                <w:b w:val="0"/>
                <w:bCs w:val="0"/>
                <w:i w:val="0"/>
                <w:iCs w:val="0"/>
                <w:color w:val="000000"/>
                <w:kern w:val="0"/>
                <w:sz w:val="20"/>
                <w:szCs w:val="20"/>
                <w:u w:val="none"/>
                <w:lang w:val="en-US" w:eastAsia="zh-CN" w:bidi="ar"/>
              </w:rPr>
              <w:t>手术治疗类项目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外阴/阴道修补费（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通过手术对外阴、阴道损伤进行缝合修补。</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阴道分娩时开展的会阴裂伤修补，按产科立项指南相关项目收费。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2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外阴/阴道修补费（复杂）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通过手术对情况复杂的外阴、阴道损伤进行缝合修补。</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1.阴道分娩时开展的会阴裂伤修补，按产科立项指南相关项目收费。</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2.复杂指：会阴Ⅲ-IV 度裂伤、陈旧性会阴Ⅱ-Ⅲ度裂伤等。</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847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779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635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571</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外阴/阴道囊肿切开引流费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通过切开引流方式治疗患者外阴或阴道的囊肿、脓肿、血肿等囊性肿物。</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所定价格涵盖手术计划、术区准备、消毒、切开引流、处理用物，必要时包扎固定、放置引流物等步骤所需的人力资源和基本物质资源消耗。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外阴病变切除费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通过手术切除外阴肿物、癌前病变等局部外阴病变。</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所定价格涵盖手术计划、术区准备、消毒、切除、缝合、处理用物，必要时包扎固定、放置引流物等步骤所需的人力资源和基本物质资源消耗。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7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外阴广泛切除费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通过手术切除外阴及周围组织。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所定价格涵盖手术计划、术区准备、消毒、切开、分离、切除、缝合修复、处理用物，必要时包扎固定、放置引流物等步骤所需的人力资源和基本物质资源消耗。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1547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1418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1289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1160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1031</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1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阴蒂整形费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通过手术方式缩小或成形阴蒂。</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所定价格涵盖手术计划、术区准备、消毒、切除、缝合、成形、处理用物等步骤所需的人力资源和基本物质资源消耗。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686</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阴唇整形费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通过手术切除增生或不对称的阴唇组织，或成形阴唇。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所定价格涵盖手术计划、术区准备、消毒、切除、缝合、成形、处理用物等步骤所需的人力资源和基本物质资源消耗。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1108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1015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923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eastAsia" w:ascii="Times New Roman" w:hAnsi="Times New Roman" w:eastAsia="宋体" w:cs="Times New Roman"/>
                <w:b w:val="0"/>
                <w:bCs w:val="0"/>
                <w:i w:val="0"/>
                <w:iCs w:val="0"/>
                <w:color w:val="000000"/>
                <w:kern w:val="0"/>
                <w:sz w:val="20"/>
                <w:szCs w:val="20"/>
                <w:u w:val="none"/>
                <w:lang w:val="en-US" w:eastAsia="zh-CN" w:bidi="ar"/>
              </w:rPr>
              <w:t>8</w:t>
            </w:r>
            <w:r>
              <w:rPr>
                <w:rFonts w:hint="default" w:ascii="Times New Roman" w:hAnsi="Times New Roman" w:eastAsia="宋体" w:cs="Times New Roman"/>
                <w:b w:val="0"/>
                <w:bCs w:val="0"/>
                <w:i w:val="0"/>
                <w:iCs w:val="0"/>
                <w:color w:val="000000"/>
                <w:kern w:val="0"/>
                <w:sz w:val="20"/>
                <w:szCs w:val="20"/>
                <w:u w:val="none"/>
                <w:lang w:val="en-US" w:eastAsia="zh-CN" w:bidi="ar"/>
              </w:rPr>
              <w:t>31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阴唇粘连分离费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通过手术分离阴唇粘连。</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634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528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处女膜切开费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通过手术切开闭锁或者肥厚的处女膜。</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93</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处女膜修复费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通过手术修补恢复完整处女膜缘。</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所定价格涵盖手术计划、术区准备、消毒、缝合修复、处理用物等步骤所需的人力资源和基本物质资源消耗。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通过手术切除部分或全部阴道。</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所定价格涵盖手术计划、术区准备、消毒、切除、缝合、处理用物等步骤所需的人力资源和基本物质资源消耗。</w:t>
            </w:r>
          </w:p>
        </w:tc>
        <w:tc>
          <w:tcPr>
            <w:tcW w:w="10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阴道赘生物或肿物切除减收</w:t>
            </w: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2468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2263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2058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1955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1852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013313000110001</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阴道切除费-阴道赘生物或肿物切除（减收）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2010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1842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1675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1591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1507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阴道壁修补费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通过手术修补阴道壁。</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所定价格涵盖手术计划、术区准备、消毒、切开、分离、缝合修补、处理用物，必要时放置引流物等步骤所需的人力资源和基本物质资源消耗。</w:t>
            </w:r>
          </w:p>
        </w:tc>
        <w:tc>
          <w:tcPr>
            <w:tcW w:w="10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前后壁同时修补</w:t>
            </w: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975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894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813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650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Arial" w:hAnsi="Arial" w:cs="Arial"/>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013313000120001</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阴道壁修补费-前后壁同时修补（加收）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332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295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阴道瘘修补费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通过手术修补外阴或其他器官与阴道间的异常通道（瘘管）。</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所定价格涵盖手术计划、术区准备、消毒、分离、切除、缝合修补、处理用物，必要时放置引流物等步骤所需的人力资源和基本物质资源消耗。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瘘管·次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1582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1319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1252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1186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阴道矫形费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通过手术修复畸形或结构异常的阴道。</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所定价格涵盖手术计划、术区准备、消毒、切开、成形、缝合、处理用物，必要时包扎固定、放置引流物等步骤所需的人力资源和基本物质资源消耗。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622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6"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阴道紧缩手术费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通过手术紧缩阴道壁。</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所定价格涵盖手术计划、术区准备、消毒、加固、缝合、处理用物等步骤所需的人力资源和基本物质资源消耗。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实行市场调节价。</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阴道替代成形费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通过手术替代成形，治疗阴道缺失、畸形或结构异常。</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所定价格涵盖手术计划、术区准备、消毒、切开、成形、缝合、处理用物，必要时包扎固定、放置引流物等步骤所需的人力资源和基本物质资源消耗。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3242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2972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2702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2431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2162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56"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阴道闭合手术费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通过手术方式缝合部分或全部阴道腔。</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所定价格涵盖手术计划、术区准备、消毒、分离、切除、缝合、处理用物，必要时包扎固定、放置引流物等步骤所需的人力资源和基本物质资源消耗。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1614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1479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1345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1210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宫颈环扎费（非孕期）</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通过手术环扎宫颈 口。</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所定价格涵盖手术计划、术区准备、消毒、环扎、处理用物、拆线等步骤所需的人力资源和基本物质资源消耗。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宫颈部分切除费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通过手术切除部分宫颈。</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594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544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宫颈根治性切除费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通过手术切除全部的宫颈、周围组织及盆腔淋巴结。</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所定价格涵盖手术计划、术区准备、消毒、分离、切除、缝合、处理用物等步骤所需的人力资源和基本物质资源消耗。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3200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2592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2332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1982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宫颈肌瘤切除费（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通过手术切除宫颈肌瘤。</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974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878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宫颈肌瘤切除费（复杂）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通过手术切除复杂情况宫颈肌瘤。</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复杂指：宫颈管内肌瘤≥3厘米或肌瘤切除数≥2 个</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1949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1786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1624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1462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1299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人工流产费（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通过钳刮、吸引等方式终止早期妊娠。</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所定价格涵盖手术计划、术区准备、冲洗、消毒、探针探查、钳刮、吸引、检查妊娠物的完整性、处理用物等步骤所需的人力资源和基本物质资源消耗。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人工流产费（复杂）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通过钳刮、吸引等方式终止复杂情况的早期妊娠。</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所定价格涵盖手术计划、术区准备、冲洗、消毒、探针探查、钳刮、吸引、检查妊娠物的完整性、处理用物等步骤所需的人力资源和基本物质资源消耗。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复杂指：畸形子宫、瘢痕子宫、  哺乳期子宫、宫颈妊娠等。</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通过手术去除宫内异常组织，或取出宫内组织。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所定价格涵盖手术计划、术区准备、消毒、宫腔探查、清宫或分段刮宫、处理用物等步骤所需的人力资源和基本物质资源消耗。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宫腔组织吸取</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02 刮宫</w:t>
            </w: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 宫腔异物取出费”、“瘢痕子宫妊娠病灶切除费”同时收取。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013313000250100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 常规）-宫腔组织吸取（扩展）</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 宫腔异物取出费”、“瘢痕子宫妊娠病灶切除费”同时收取。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013313000250200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 常规）-刮宫（扩展）</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 宫腔异物取出费”、“瘢痕子宫妊娠病灶切除费”同时收取。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39"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对病情复杂的情况，通过手术去除宫内异常组织，或取出宫内组织。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所定价格涵盖手术计划、术区准备、消毒、宫腔探查、清宫或分段刮宫、处理用物等步骤所需的人力资源和基本物质资源消耗。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分段诊刮</w:t>
            </w: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1.复杂指：畸形子宫、瘢痕子宫、稽留流产等。</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2.分段诊刮指同时取出宫颈和宫腔的组织。</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3.不与 “ 宫腔异物取出费”、  “瘢痕子宫妊娠病灶切除费” 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39"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013313000260100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清宫费（复杂）-分段诊刮（扩展）</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1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1.复杂指：畸形子宫、瘢痕子宫、稽留流产等。</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2.分段诊刮指同时取出宫颈和宫腔的组织。</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3.不与 “ 宫腔异物取出费”、  “瘢痕子宫妊娠病灶切除费” 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宫腔粘连分离费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通过手术分离宫腔粘连。</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所定价格涵盖手术计划、术区准备、消毒、宫腔探查、分离、处理用物等步骤所需的人力资源和基本物质资源消耗。</w:t>
            </w:r>
          </w:p>
        </w:tc>
        <w:tc>
          <w:tcPr>
            <w:tcW w:w="10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宫颈管粘连分离</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02 使用探针或扩宫棒分粘减收</w:t>
            </w: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013313000270001</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宫腔粘连分离费-宫颈管粘连分离（加收）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sz w:val="20"/>
                <w:szCs w:val="20"/>
                <w:u w:val="none"/>
              </w:rPr>
              <w:t>513313000270002</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宫腔粘连分离费-使用探针或扩宫棒分粘（减收）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宫腔异物取出费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通过器械取出嵌顿在子宫壁的宫腔内异物。</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所定价格涵盖手术计划、扩宫、探查、取异物，必要时缝合、处理用物等操作所需的人力资源和基本物质资源消耗。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“清宫费” 、  “瘢痕子宫妊娠病灶切除费” 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宫内节育器放置费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在子宫内放入节育器。</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所定价格涵盖手术计划、术区准备、冲洗、消毒、扩张、放置节育器、处理用物等步骤所需的人力资源和基本物质资源消耗。</w:t>
            </w:r>
          </w:p>
        </w:tc>
        <w:tc>
          <w:tcPr>
            <w:tcW w:w="10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宫内节育器缝合固定</w:t>
            </w: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013313000290001</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宫内节育器放置费-宫内节育器缝合固定（加收）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宫内节育器取出费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取出子宫内的节育器。</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所定价格涵盖手术计划、术区准备、冲洗、消毒、扩张、取出节育器、处理用物等步骤所需的人力资源和基本物质资源消耗。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取出嵌顿在子宫壁上的节育器，按 “ 宫腔异物取出费”收取。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93</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子宫活检费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取子宫或韧带部位组织进行活检。</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所定价格涵盖手术计划、术区准备、消毒、切开、探查、取样、处理用物等步骤所需的人力资源和基本物质资源消耗。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不与同部位其他手术同时收费。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57"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瘢痕子宫妊娠病灶切除费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通过手术切除瘢痕子宫的妊娠组织。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所定价格涵盖手术计划、术区准备、消毒、切开、宫腔探查、切除、缝合、处理用物，必要时修补等步骤所需的人力资源和基本物质资源消耗。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宫角妊娠病灶切除</w:t>
            </w: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“清宫费” 、  “ 宫腔异物取出费” 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1581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1438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1294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013313000320100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瘢痕子宫妊娠病灶切除费-宫角妊娠病灶切除（扩展）</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“清宫费” 、  “ 宫腔异物取出费” 同时收取。</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1725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1581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1438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1294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子宫内膜去除费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通过各种方式去除子宫内膜。</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所定价格涵盖手术计划、术区准备、消毒、宫腔探查、去除内膜、处理用物等步骤所需的人力资源和基本物质资源消耗。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1976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1812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1648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1565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1483</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子宫内膜息肉去除费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通过手术去除子宫内膜息肉。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所定价格涵盖手术计划、术区准备、消毒、宫腔探查、去除、处理用物等步骤所需的人力资源和基本物质资源消耗。</w:t>
            </w:r>
          </w:p>
        </w:tc>
        <w:tc>
          <w:tcPr>
            <w:tcW w:w="10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宫颈管息肉去除减收</w:t>
            </w: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1212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1111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1010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808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013313000340001</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子宫内膜息肉去除费-宫颈管息肉去除（减收）</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1062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965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868</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772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子宫肌瘤切除费（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通过手术切除子宫肌瘤。</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子宫腺肌病灶切除</w:t>
            </w: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1734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1590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1445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1372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013313000350100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子宫肌瘤切除费（ 常规）-子宫腺肌病灶切除（扩展）</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1734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1590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1445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1372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子宫肌瘤切除费（复杂）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通过手术切除复杂情况子宫肌瘤。</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复杂指：黏膜下肌瘤≥5 厘米、肌瘤≥8 厘米或肌瘤切除数≥6个。</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2644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2404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2164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2043</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子宫动脉结扎费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通过手术结扎子宫动脉，阻断子宫血供。</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所定价格涵盖手术计划、术区准备、消毒、宫腔探查、结扎、处理用物等步骤所需的人力资源和基本物质资源消耗。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子宫次全切除费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通过手术切除子宫体，同时保留宫颈。</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所定价格涵盖手术计划、术区准备、消毒、切开、宫腔探查、切除、分离、缝合、处理用物等步骤所需的人力资源和基本物质资源消耗。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999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791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子宫全切除费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通过手术切除全部子宫。</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所定价格涵盖手术计划、术区准备、消毒、切开、宫腔探查、切除、分离、缝合、处理用物等步骤所需的人力资源和基本物质资源消耗。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1751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1606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1313</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1168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子宫扩大切除费（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通过手术切除全部子宫及筋膜外周围组织。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所定价格涵盖手术计划、术区准备、消毒、切开、盆腹腔探查、分离、切除、缝合、处理用物，必要时放置引流物等步骤所需的人力资源和基本物质资源消耗。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1852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1544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1403</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1289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子宫扩大切除费（复杂）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通过手术切除全部子宫，并次广泛、广泛切除筋膜外周围组织。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所定价格涵盖手术计划、术区准备、消毒、切开、盆腹腔探查、分离、切除、缝合、处理用物，必要时放置引流物等步骤所需的人力资源和基本物质资源消耗。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2462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2257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2052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1847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1744</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子宫修补费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通过手术修补破损子宫（包括剖腹产切口憩室）。</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所定价格涵盖手术计划、术区准备、消毒、宫腔探查、缝合修补、处理用物等步骤所需的人力资源和基本物质资源消耗。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1240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1033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930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826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子宫矫形费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通过手术纠正子宫纵隔、残角子宫、双角子宫等子宫畸形。</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所定价格涵盖手术计划、术区准备、消毒、切开、宫腔探查、缝合、处理用物，必要时切除等步骤所需的人力资源和基本物质资源消耗。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1196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1127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1012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860</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子宫悬吊费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对子宫、阴道周围韧带等组织进行悬吊固定。</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所定价格涵盖手术计划、术区准备、消毒、切开、分离、缝合悬吊、处理用物等步骤所需的人力资源和基本物质资源消耗。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输卵管穿刺费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通过穿刺输卵管，抽吸引流、注药等。</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所定价格涵盖手术计划、术区准备、消毒、切开、穿刺、抽吸，必要时注药、取样等步骤所需的人力资源和基本物质资源消耗。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579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输卵管通液费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通过输卵管注液，进行诊断或治疗输卵管病变。</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所定价格涵盖手术计划、术区准备、设备调试、摆位、消毒、插管、注液、拔管、处理用物，必要时注药等步骤所需的人力资源和基本物质资源消耗。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开展输卵管造影，按 “输卵管通液费”+相关影像学造影成像项目收费。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649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590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501</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输卵管矫形费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通过手术修复输卵管。</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所定价格涵盖手术计划、术区准备、消毒、切开、修复、缝合、处理用物等步骤所需的人力资源和基本物质资源消耗。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1281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1165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1106</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1048</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9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输卵管吻合复通费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通过手术吻合复通输卵管。</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所定价格涵盖手术计划、术区准备、消毒、切开、分离、切除、吻合、处理用物等步骤所需的人力资源和基本物质资源消耗。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1792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1643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1494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1344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1269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输卵管宫角植入费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通过手术切除输卵管阻塞段，固定于子宫角。</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所定价格涵盖手术计划、术区准备、消毒、切除、缝合固定、处理用物等步骤所需的人力资源和基本物质资源消耗。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828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690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通过手术切除输卵管或输卵管病灶。</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715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27"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输卵管开窗费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通过手术取出输卵管妊娠物。</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所定价格涵盖手术计划、术区准备、消毒、切开、分离、取出、处理用物，必要时注药等步骤所需的人力资源和基本物质资源消耗。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666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527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499</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1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输卵管阻断费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通过各种方式阻断输卵管。</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所定价格涵盖手术计划、术区准备、消毒、切开、分离、阻断、缝合、处理用物等步骤所需的人力资源和基本物质资源消耗。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343</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卵巢打孔费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通过手术在卵巢上打孔。</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所定价格涵盖手术计划、术区准备、消毒、切开、分离、打孔、处理用物等步骤所需的人力资源和基本物质资源消耗。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1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卵巢切开探查费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通过手术探查卵巢。</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所定价格涵盖手术计划、术区准备、消毒、探查、处理用物，必要时取样等步骤所需的人力资源和基本物质资源消耗。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不与同部位其他手术同时收费。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376</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卵巢部分切除费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通过手术切除部分卵巢或卵巢病灶。</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所定价格涵盖手术计划、术区准备、消毒、切开、分离、切除、缝合、修复、处理用物等步骤所需的人力资源和基本物质资源消耗。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卵巢组织切取</w:t>
            </w: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722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684</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5" w:hRule="atLeast"/>
          <w:jc w:val="center"/>
        </w:trPr>
        <w:tc>
          <w:tcPr>
            <w:tcW w:w="4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013313000550100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卵巢部分切除费-卵巢组织切取（扩展）</w:t>
            </w:r>
          </w:p>
        </w:tc>
        <w:tc>
          <w:tcPr>
            <w:tcW w:w="1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722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684</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通过手术切除整个卵巢。</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541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卵巢癌根治性切除费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通过手术切除整个子宫、双附件及区域淋巴结、大网膜。</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3436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2864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2720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2577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卵巢移位费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通过手术将卵巢移位至身体其他部位。</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所定价格涵盖手术计划、术区准备、消毒、切开、探查、游离、移位、固定、缝合、处理用物等步骤所需的人力资源和基本物质资源消耗。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660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013313000590000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卵巢组织移植费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通过手术移植卵巢组织。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所定价格涵盖手术计划、术区准备、消毒、切开、分离植入、吻合、固定、缝合、处理用物等步骤所需的人力资源和基本物质资源消耗。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1430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1311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1192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1072</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77</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013313000600000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盆腔手术探查费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通过手术探查盆腔脏器、腹膜。</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所定价格涵盖手术计划、术区准备、消毒、探查、处理用物，必要时取样等步骤所需的人力资源和基本物质资源消耗。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不与同部位其他手术同时收费。</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1193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1093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994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895</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844</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2"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013313000610000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子宫内膜异位病灶切除费（ 常规）</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通过手术切除子宫内膜异位病灶。</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所定价格涵盖手术计划、术区准备、消毒、切开、探查、分离、切除异位内膜，必要时缝合、放置引流物、处理用物等步骤所需的人力资源和基本物质资源消耗。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1530</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1402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1275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1211</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1147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2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79</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013313000620000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子宫内膜异位病灶切除费（复杂）</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通过手术切除复杂情况子宫内膜异位病灶。</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所定价格涵盖手术计划、术区准备、消毒、切开、探查、分离、切除异位内膜，必要时缝合、放置引流物、处理用物等步骤所需的人力资源和基本物质资源消耗。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复杂指：子宫内膜异位病变浸润深度≥5 毫米或侵犯 3 个及以上部位。</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2176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1995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1814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1632</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1541</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80</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013313000630000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淋巴结清扫费（盆腔）</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通过手术清扫盆腔淋巴结。</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1489</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1365</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1242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1117</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1055</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4"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81</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013313000640000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盆腔粘连松解费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通过手术分离盆腔粘连组织。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所定价格涵盖手术计划、术区准备、消毒、探查、分离松解、处理用物等步骤所需的人力资源和基本物质资源消耗。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943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864</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746</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707</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6"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82</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013313000650000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盆腔肿瘤切除费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通过手术切除盆腔内肿瘤。</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所定价格涵盖手术计划、术区准备、消毒、探查、切除、缝合、处理用物等步骤所需的人力资源和基本物质资源消耗。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1042</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948</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853</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013313000660000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盆底重建费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通过手术重建盆底支持组织。</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2431</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2227</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2026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1924</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1823</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93"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84</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013313000670000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避孕药皮下埋植费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皮下埋植避孕药。</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所定价格涵盖手术计划、术区准备、消毒、切开、埋植、取出药物、缝合、处理用物等步骤所需的人力资源和基本物质资源消耗。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0" w:hRule="atLeast"/>
          <w:jc w:val="center"/>
        </w:trPr>
        <w:tc>
          <w:tcPr>
            <w:tcW w:w="4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85</w:t>
            </w:r>
          </w:p>
        </w:tc>
        <w:tc>
          <w:tcPr>
            <w:tcW w:w="9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013313000680000</w:t>
            </w:r>
          </w:p>
        </w:tc>
        <w:tc>
          <w:tcPr>
            <w:tcW w:w="91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避孕药取出费</w:t>
            </w:r>
          </w:p>
        </w:tc>
        <w:tc>
          <w:tcPr>
            <w:tcW w:w="16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取出皮下埋植的避孕药。</w:t>
            </w:r>
          </w:p>
        </w:tc>
        <w:tc>
          <w:tcPr>
            <w:tcW w:w="292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所定价格涵盖手术计划、术区准备、消毒、切开、取出药物、缝合、处理用物等步骤所需的人力资源和基本物质资源消耗。</w:t>
            </w:r>
          </w:p>
        </w:tc>
        <w:tc>
          <w:tcPr>
            <w:tcW w:w="100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57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8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5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bl>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pPr>
        <w:keepNext w:val="0"/>
        <w:keepLines w:val="0"/>
        <w:pageBreakBefore w:val="0"/>
        <w:widowControl w:val="0"/>
        <w:kinsoku/>
        <w:wordWrap/>
        <w:overflowPunct/>
        <w:topLinePunct w:val="0"/>
        <w:autoSpaceDE/>
        <w:autoSpaceDN/>
        <w:bidi w:val="0"/>
        <w:adjustRightInd w:val="0"/>
        <w:snapToGrid w:val="0"/>
        <w:spacing w:line="576" w:lineRule="exact"/>
        <w:ind w:firstLine="0"/>
        <w:textAlignment w:val="auto"/>
        <w:rPr>
          <w:rFonts w:hint="default" w:ascii="Times New Roman" w:hAnsi="Times New Roman" w:cs="Times New Roman"/>
          <w:color w:val="auto"/>
          <w:szCs w:val="32"/>
        </w:rPr>
        <w:sectPr>
          <w:pgSz w:w="16838" w:h="11906" w:orient="landscape"/>
          <w:pgMar w:top="1417" w:right="1417" w:bottom="1417" w:left="1417" w:header="851" w:footer="1134" w:gutter="0"/>
          <w:pgBorders w:offsetFrom="page">
            <w:top w:val="none" w:color="auto" w:sz="0" w:space="0"/>
            <w:left w:val="none" w:color="auto" w:sz="0" w:space="0"/>
            <w:bottom w:val="none" w:color="auto" w:sz="0" w:space="0"/>
            <w:right w:val="none" w:color="auto" w:sz="0" w:space="0"/>
          </w:pgBorders>
          <w:pgNumType w:fmt="decimal"/>
          <w:cols w:space="720" w:num="1"/>
          <w:rtlGutter w:val="0"/>
          <w:docGrid w:type="lines" w:linePitch="439"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简体">
    <w:altName w:val="Arial Unicode MS"/>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E154C2"/>
    <w:rsid w:val="05E154C2"/>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624"/>
      <w:jc w:val="both"/>
    </w:pPr>
    <w:rPr>
      <w:rFonts w:eastAsia="仿宋_GB2312"/>
      <w:kern w:val="2"/>
      <w:sz w:val="32"/>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2025-10-21T06:31:00Z</dcterms:created>
  <dc:creator>王钧瑶</dc:creator>
  <cp:lastModifiedBy>王钧瑶</cp:lastModifiedBy>
  <dcterms:modified xsi:type="dcterms:W3CDTF">2025-10-21T06:31:38Z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