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黑体" w:cs="Times New Roman"/>
          <w:color w:val="auto"/>
          <w:sz w:val="32"/>
          <w:szCs w:val="32"/>
          <w:lang w:val="en-US" w:eastAsia="zh-CN"/>
        </w:rPr>
        <w:t>-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/>
        <w:textAlignment w:val="auto"/>
        <w:rPr>
          <w:rFonts w:hint="default" w:ascii="Times New Roman" w:hAnsi="Times New Roman" w:cs="Times New Roman"/>
          <w:color w:val="auto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auto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 w:cs="Times New Roman"/>
          <w:snapToGrid w:val="0"/>
          <w:color w:val="auto"/>
          <w:sz w:val="44"/>
          <w:szCs w:val="44"/>
          <w:lang w:eastAsia="zh-CN"/>
        </w:rPr>
        <w:t>巴中市</w:t>
      </w:r>
      <w:r>
        <w:rPr>
          <w:rFonts w:hint="default" w:ascii="Times New Roman" w:hAnsi="Times New Roman" w:eastAsia="方正小标宋简体" w:cs="Times New Roman"/>
          <w:snapToGrid w:val="0"/>
          <w:color w:val="auto"/>
          <w:sz w:val="44"/>
          <w:szCs w:val="44"/>
        </w:rPr>
        <w:t>修订医疗服务价格项目表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6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auto"/>
          <w:sz w:val="48"/>
          <w:szCs w:val="48"/>
        </w:rPr>
      </w:pPr>
    </w:p>
    <w:tbl>
      <w:tblPr>
        <w:tblStyle w:val="3"/>
        <w:tblW w:w="14602" w:type="dxa"/>
        <w:jc w:val="center"/>
        <w:tblInd w:w="-3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3"/>
        <w:gridCol w:w="1642"/>
        <w:gridCol w:w="1602"/>
        <w:gridCol w:w="1245"/>
        <w:gridCol w:w="1476"/>
        <w:gridCol w:w="976"/>
        <w:gridCol w:w="998"/>
        <w:gridCol w:w="605"/>
        <w:gridCol w:w="2187"/>
        <w:gridCol w:w="572"/>
        <w:gridCol w:w="625"/>
        <w:gridCol w:w="659"/>
        <w:gridCol w:w="718"/>
        <w:gridCol w:w="7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9" w:hRule="atLeast"/>
          <w:jc w:val="center"/>
        </w:trPr>
        <w:tc>
          <w:tcPr>
            <w:tcW w:w="5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6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国家项目代码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国家项目名称</w:t>
            </w:r>
          </w:p>
        </w:tc>
        <w:tc>
          <w:tcPr>
            <w:tcW w:w="12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项目编码</w:t>
            </w:r>
          </w:p>
        </w:tc>
        <w:tc>
          <w:tcPr>
            <w:tcW w:w="14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项目名称</w:t>
            </w:r>
          </w:p>
        </w:tc>
        <w:tc>
          <w:tcPr>
            <w:tcW w:w="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项目内涵</w:t>
            </w:r>
          </w:p>
        </w:tc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除外内容</w:t>
            </w:r>
          </w:p>
        </w:tc>
        <w:tc>
          <w:tcPr>
            <w:tcW w:w="6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计价单位</w:t>
            </w: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说明</w:t>
            </w:r>
          </w:p>
        </w:tc>
        <w:tc>
          <w:tcPr>
            <w:tcW w:w="32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snapToGrid w:val="0"/>
                <w:color w:val="auto"/>
                <w:kern w:val="21"/>
                <w:sz w:val="20"/>
                <w:szCs w:val="20"/>
                <w:u w:val="none"/>
                <w:lang w:val="en-US" w:eastAsia="zh-CN" w:bidi="ar"/>
              </w:rPr>
              <w:t>巴中市公立医疗机构价格（元）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三甲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三乙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二甲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二乙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以下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32" w:hRule="atLeast"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003301000110000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330100011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包括神经根脱髓鞘等治疗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硬膜外套件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不可与“局部麻醉费（椎管内麻醉）”同时计费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atLeast"/>
          <w:jc w:val="center"/>
        </w:trPr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003301000110100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椎管内置管术（神经根脱髓鞘等治疗）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330100011-1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椎管内置管术（神经根脱髓鞘等治疗）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次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不可与“局部麻醉费（椎管内麻醉）”同时计费</w:t>
            </w:r>
          </w:p>
        </w:tc>
        <w:tc>
          <w:tcPr>
            <w:tcW w:w="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100</w:t>
            </w:r>
          </w:p>
        </w:tc>
        <w:tc>
          <w:tcPr>
            <w:tcW w:w="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90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70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59.5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A118E"/>
    <w:rsid w:val="1DEA118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4"/>
      <w:jc w:val="both"/>
    </w:pPr>
    <w:rPr>
      <w:rFonts w:eastAsia="仿宋_GB2312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2025-10-20T02:44:00Z</dcterms:created>
  <dc:creator>王钧瑶</dc:creator>
  <cp:lastModifiedBy>王钧瑶</cp:lastModifiedBy>
  <dcterms:modified xsi:type="dcterms:W3CDTF">2025-10-20T02:45:13Z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