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黑体" w:cs="Times New Roman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lang w:val="en-US" w:eastAsia="zh-CN"/>
        </w:rPr>
        <w:t>巴中市麻醉类医疗服务项目价格及医保支付类别表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8"/>
          <w:szCs w:val="48"/>
          <w:lang w:val="en-US" w:eastAsia="zh-CN"/>
        </w:rPr>
      </w:pPr>
    </w:p>
    <w:tbl>
      <w:tblPr>
        <w:tblStyle w:val="6"/>
        <w:tblW w:w="15198" w:type="dxa"/>
        <w:jc w:val="center"/>
        <w:tblInd w:w="-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1" w:hRule="atLeast"/>
          <w:jc w:val="center"/>
        </w:trPr>
        <w:tc>
          <w:tcPr>
            <w:tcW w:w="151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使用说明：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1.医疗服务的政府指导价为最高限价，下浮不限；同时，医疗机构、医务人员实施治疗过程中有关创新改良，采取“现有项目兼容”的方式简化处理，直接按照对应的整合项目执行即可。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.“价格构成”指项目价格应涵盖的各类资源消耗，用于确定计价单元的边界，是各级医疗保障部门制定调整项目价格考虑的测算因子，不应作为临床技术标准理解，不是实际操作方式、路径、步骤、程序的强制性要求，价格构成中包含，但个别临床实践中非必要、未发生的，无需强制要求公立医疗机构减计费用。所列“设备投入”包括但不限于操作设备、器具及固定资产投入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3.“加收项”指同一项目以不同方式提供或在不同场景应用时，确有必要制定差异化收费标准而细分的一类子项，包括在原项目价格基础上增加或减少收费的情况，具体的加/减收标准（加/减收率或加/减收金额）由各地依权限制定；实际应用中，同时涉及多个加收项的，以项目单价为基础计算相应的加/减收水平后，据实收费。加收项两位编码第1位相同的，视为同一序列，同一序列加收项不得同时收取；不同序列的加收项，例如“01儿童加收”和“11危重患者加收”可以同时收取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4.“扩展项”指同一项目下以不同方式提供或在不同场景应用时，只扩展价格项目适用范围、不额外加价的一类子项，子项的价格按主项目执行。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5.“基本物质资源消耗”指原则上限于不应或不必要与医疗服务项目分割的易耗品，包括但不限于各类消毒用品、储存用品、清洁用品、个人防护用品、标签、垃圾处理用品、治疗巾（单）、棉球、棉签、纱布（垫）、治疗护理盘（包）、普通注射器、护（尿）垫、备皮工具、普通面罩、普通喉罩、钠石灰、二氧化碳测压管、可复用操作器具、软件（版权、开发、购买）成本等。基本物质资源消耗成本计入项目价格，不另行收费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6.各类麻醉项目价格构成中包含术中各类监测成本，不得与其他监测项目同时计费。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7.涉及“包括……”“……等”的，属于开放型表述，所指对象不仅局限于表述中列明的事项，也包括未列明的同类事项。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8.计费时间以麻醉开始至麻醉结束（含麻醉恢复室复苏阶段）。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9.“危重患者”指：ASA分级4、5级。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10.“儿童 ”指6周岁及以下。周岁的计算方法以法律的相关规定为准。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11.在诊疗项目服务中，除另有规定的，不足一个计价单位的按一个计价单位计算；一个服务项目在同一时间经多次操作方能完成，也应按一次计价。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0"/>
        <w:textAlignment w:val="auto"/>
        <w:rPr>
          <w:rFonts w:hint="default" w:ascii="Times New Roman" w:hAnsi="Times New Roman" w:eastAsia="宋体" w:cs="Times New Roman"/>
          <w:color w:val="auto"/>
          <w:sz w:val="20"/>
          <w:szCs w:val="20"/>
        </w:rPr>
      </w:pPr>
    </w:p>
    <w:tbl>
      <w:tblPr>
        <w:tblStyle w:val="6"/>
        <w:tblW w:w="15153" w:type="dxa"/>
        <w:jc w:val="center"/>
        <w:tblInd w:w="-10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7"/>
        <w:gridCol w:w="971"/>
        <w:gridCol w:w="1423"/>
        <w:gridCol w:w="1670"/>
        <w:gridCol w:w="3181"/>
        <w:gridCol w:w="1231"/>
        <w:gridCol w:w="667"/>
        <w:gridCol w:w="488"/>
        <w:gridCol w:w="1520"/>
        <w:gridCol w:w="659"/>
        <w:gridCol w:w="582"/>
        <w:gridCol w:w="554"/>
        <w:gridCol w:w="544"/>
        <w:gridCol w:w="582"/>
        <w:gridCol w:w="6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4" w:hRule="atLeast"/>
          <w:tblHeader/>
          <w:jc w:val="center"/>
        </w:trPr>
        <w:tc>
          <w:tcPr>
            <w:tcW w:w="42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71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1423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67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服务产出</w:t>
            </w:r>
          </w:p>
        </w:tc>
        <w:tc>
          <w:tcPr>
            <w:tcW w:w="3181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价格构成</w:t>
            </w:r>
          </w:p>
        </w:tc>
        <w:tc>
          <w:tcPr>
            <w:tcW w:w="1231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加收项</w:t>
            </w:r>
          </w:p>
        </w:tc>
        <w:tc>
          <w:tcPr>
            <w:tcW w:w="66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扩展项</w:t>
            </w:r>
          </w:p>
        </w:tc>
        <w:tc>
          <w:tcPr>
            <w:tcW w:w="48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15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计价说明</w:t>
            </w:r>
          </w:p>
        </w:tc>
        <w:tc>
          <w:tcPr>
            <w:tcW w:w="292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巴中市公立医疗机构价格（元）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4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医保支付类别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3" w:hRule="atLeast"/>
          <w:tblHeader/>
          <w:jc w:val="center"/>
        </w:trPr>
        <w:tc>
          <w:tcPr>
            <w:tcW w:w="42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42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18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5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三甲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三乙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二甲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二乙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二乙以下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50" w:hRule="atLeast"/>
          <w:jc w:val="center"/>
        </w:trPr>
        <w:tc>
          <w:tcPr>
            <w:tcW w:w="42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013301000010000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局部麻醉费（局部浸润麻醉）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通过对特定部位注射给药，暂时阻断神经传导，达到局部麻醉效果。</w:t>
            </w: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所定价格涵盖核对信息、配制、定位、消毒、反复穿刺、注射、拔针、按压、监测、观察、处理用物等所需的人力资源和基本物质资源消耗。</w:t>
            </w: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一个手术部位按一次麻醉计算。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46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42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39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37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50" w:hRule="atLeast"/>
          <w:jc w:val="center"/>
        </w:trPr>
        <w:tc>
          <w:tcPr>
            <w:tcW w:w="42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013301000020000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局部麻醉费（局部静脉麻醉）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通过对静脉注射给药，暂时阻断神经传导，达到局部麻醉效果。</w:t>
            </w: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所定价格涵盖核对信息、配制、定位、消毒、穿刺、注射、拔针、按压、监测、观察、处理用物等所需的人力资源和基本物质资源消耗。</w:t>
            </w: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一个手术部位按一次麻醉计算。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30" w:hRule="atLeast"/>
          <w:jc w:val="center"/>
        </w:trPr>
        <w:tc>
          <w:tcPr>
            <w:tcW w:w="42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013301000030000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局部麻醉费（神经阻滞麻醉）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通过对特定的外周神经根、神经节、神经干、神经丛或筋膜平面注射药物，暂时阻断神经传导，达到区域性麻醉效果。</w:t>
            </w: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所定价格涵盖患者准备、定位、消毒、穿刺、注药、监测、观察、记录、处理用物及必要时置管等步骤所需的人力资源和基本物质资源消耗。</w:t>
            </w: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 儿童加收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02 80周岁及以上患者加收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单次以2小时为基础计费，超过2小时每小时加收21%。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3" w:hRule="atLeast"/>
          <w:jc w:val="center"/>
        </w:trPr>
        <w:tc>
          <w:tcPr>
            <w:tcW w:w="42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013301000030001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局部麻醉费（神经阻滞麻醉）-儿童（加收）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单次以2小时为基础计费，超过2小时每小时加收21%。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2" w:hRule="atLeast"/>
          <w:jc w:val="center"/>
        </w:trPr>
        <w:tc>
          <w:tcPr>
            <w:tcW w:w="42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013301000030002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局部麻醉费（神经阻滞麻醉）-80周岁及以上患者（加收）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单次以2小时为基础计费，超过2小时每小时加收21%。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91" w:hRule="atLeast"/>
          <w:jc w:val="center"/>
        </w:trPr>
        <w:tc>
          <w:tcPr>
            <w:tcW w:w="42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013301000040000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局部麻醉费（椎管内麻醉）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通过将药物注射到椎管内，阻断神经传导，达到麻醉效果。</w:t>
            </w: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所定价格涵盖患者准备、定位、消毒、穿刺、注药、监测、观察、记录、处理用物及必要时置管等步骤所需的人力资源和基本物质资源消耗。</w:t>
            </w: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 儿童加收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02 80周岁及以上患者加收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11 腰麻硬膜外联合阻滞加收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单次以2小时为基础计费，超过2小时每小时加收12%。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  <w:t>548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37" w:hRule="atLeast"/>
          <w:jc w:val="center"/>
        </w:trPr>
        <w:tc>
          <w:tcPr>
            <w:tcW w:w="42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013301000040001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局部麻醉费（椎管内麻醉）-儿童（加收）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单次以2小时为基础计费，超过2小时每小时加收12%。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87" w:hRule="atLeast"/>
          <w:jc w:val="center"/>
        </w:trPr>
        <w:tc>
          <w:tcPr>
            <w:tcW w:w="42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013301000040002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局部麻醉费（椎管内麻醉）-80周岁及以上患者（加收）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单次以2小时为基础计费，超过2小时每小时加收12%。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54" w:hRule="atLeast"/>
          <w:jc w:val="center"/>
        </w:trPr>
        <w:tc>
          <w:tcPr>
            <w:tcW w:w="42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013301000040011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局部麻醉费（椎管内麻醉）-腰麻硬膜外联合阻滞（加收）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单次以2小时为基础计费，超过2小时每小时加收12%。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78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71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65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61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58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2" w:hRule="atLeast"/>
          <w:jc w:val="center"/>
        </w:trPr>
        <w:tc>
          <w:tcPr>
            <w:tcW w:w="42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013301000050000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全身麻醉费（无插管全麻）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通过药物注入或吸入气体，作用于中枢神经系统，达到短暂且保留自主呼吸的全身麻醉效果。</w:t>
            </w: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所定价格涵盖患者准备、消毒、静脉穿刺、注药或吸入、监测、观察、记录、患者复苏、处理用物等步骤所需的人力资源和基本物质资源消耗。</w:t>
            </w: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 儿童加收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02 80周岁及以上患者加收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3" w:hRule="atLeast"/>
          <w:jc w:val="center"/>
        </w:trPr>
        <w:tc>
          <w:tcPr>
            <w:tcW w:w="42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013301000050001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全身麻醉费（无插管全麻）-儿童（加收）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3" w:hRule="atLeast"/>
          <w:jc w:val="center"/>
        </w:trPr>
        <w:tc>
          <w:tcPr>
            <w:tcW w:w="42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013301000050002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全身麻醉费（无插管全麻）-80周岁及以上患者（加收）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71" w:hRule="atLeast"/>
          <w:jc w:val="center"/>
        </w:trPr>
        <w:tc>
          <w:tcPr>
            <w:tcW w:w="42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013301000060000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全身麻醉费（插管或喉罩）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通过将药物（气体）注入或吸入体内，暂时抑制中枢神经系统，以插管或喉罩维持呼吸，达到可逆性神志消失、全身痛觉消失、遗忘、反射抑制的全身麻醉效果。</w:t>
            </w: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所定价格涵盖设备准备、患者准备、静脉穿刺、注药或吸入、气管插管、机械通气、监测、观察、记录、患者复苏、处理用物等步骤所需的人力资源和基本物质资源消耗。</w:t>
            </w: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 儿童加收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02 80周岁及以上患者加收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11 危重患者加收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%。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1093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1002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911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865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819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37" w:hRule="atLeast"/>
          <w:jc w:val="center"/>
        </w:trPr>
        <w:tc>
          <w:tcPr>
            <w:tcW w:w="42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013301000060001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全身麻醉费（插管或喉罩）-儿童（加收）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%。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87" w:hRule="atLeast"/>
          <w:jc w:val="center"/>
        </w:trPr>
        <w:tc>
          <w:tcPr>
            <w:tcW w:w="42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013301000060002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全身麻醉费（插管或喉罩）-80周岁及以上患者（加收）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%。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20" w:hRule="atLeast"/>
          <w:jc w:val="center"/>
        </w:trPr>
        <w:tc>
          <w:tcPr>
            <w:tcW w:w="42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013301000060011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全身麻醉费（插管或喉罩）-危重患者（加收）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%。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71" w:hRule="atLeast"/>
          <w:jc w:val="center"/>
        </w:trPr>
        <w:tc>
          <w:tcPr>
            <w:tcW w:w="42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013301000070000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全身麻醉费（支气管内麻醉）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通过将药物（气体）注入或吸入体内，暂时抑制中枢神经系统，支气管插管，单肺通气，达到可逆性神志消失、全身痛觉消失、遗忘、反射抑制的全身麻醉效果。</w:t>
            </w: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所定价格涵盖设备准备、患者准备、静脉穿刺、注药或吸入、支气管插管或封堵、机械通气、监测、观察、记录、患者复苏、处理用物等步骤所需的人力资源和基本物质资源消耗。</w:t>
            </w: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 儿童加收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02 80周岁及以上患者加收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11 危重患者加收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单次以2小时为基础计费，超过2小时每小时加收10%。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1337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1226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1115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1059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1003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3" w:hRule="atLeast"/>
          <w:jc w:val="center"/>
        </w:trPr>
        <w:tc>
          <w:tcPr>
            <w:tcW w:w="42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013301000070001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全身麻醉费（支气管内麻醉）-儿童（加收）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单次以2小时为基础计费，超过2小时每小时加收10%。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2" w:hRule="atLeast"/>
          <w:jc w:val="center"/>
        </w:trPr>
        <w:tc>
          <w:tcPr>
            <w:tcW w:w="42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013301000070002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全身麻醉费（支气管内麻醉）-80周岁及以上患者（加收）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单次以2小时为基础计费，超过2小时每小时加收10%。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3" w:hRule="atLeast"/>
          <w:jc w:val="center"/>
        </w:trPr>
        <w:tc>
          <w:tcPr>
            <w:tcW w:w="42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013301000070011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全身麻醉费（支气管内麻醉）-危重患者（加收）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单次以2小时为基础计费，超过2小时每小时加收10%。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2" w:hRule="atLeast"/>
          <w:jc w:val="center"/>
        </w:trPr>
        <w:tc>
          <w:tcPr>
            <w:tcW w:w="42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013301000080000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全身麻醉费（深低温停循环麻醉）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指通过各类方式，降低患者核心体温，暂停体外循环，进行手术治疗。</w:t>
            </w: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所定价格涵盖设备准备、患者准备、静脉穿刺、注药或吸入、气管插管、机械通气、监测、观察、记录、患者复苏、处理用物等步骤所需的人力资源和基本物质资源消耗。</w:t>
            </w: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 儿童加收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02 80周岁及以上患者加收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单次以2小时为基础计费，超过2小时每小时加收12%。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1368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1254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1140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1026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969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3" w:hRule="atLeast"/>
          <w:jc w:val="center"/>
        </w:trPr>
        <w:tc>
          <w:tcPr>
            <w:tcW w:w="42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013301000080001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全身麻醉费（深低温停循环麻醉）-儿童（加收）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单次以2小时为基础计费，超过2小时每小时加收12%。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2" w:hRule="atLeast"/>
          <w:jc w:val="center"/>
        </w:trPr>
        <w:tc>
          <w:tcPr>
            <w:tcW w:w="42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013301000080002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全身麻醉费（深低温停循环麻醉）-80周岁及以上患者（加收）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单次以2小时为基础计费，超过2小时每小时加收12%。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2" w:hRule="atLeast"/>
          <w:jc w:val="center"/>
        </w:trPr>
        <w:tc>
          <w:tcPr>
            <w:tcW w:w="42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013301000090000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麻醉监护下镇静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在麻醉监护下通过药物注入使病人处于清醒镇静状态，为有创操作或检查创造条件。</w:t>
            </w: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所定价格涵盖设备准备、患者准备、注药、监测、观察、记录、处理用物等步骤所需的人力资源和基本物质资源消耗。</w:t>
            </w: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 儿童加收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02 80周岁及以上患者加收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0" w:hRule="atLeast"/>
          <w:jc w:val="center"/>
        </w:trPr>
        <w:tc>
          <w:tcPr>
            <w:tcW w:w="42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013301000090001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麻醉监护下镇静-儿童（加收）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77" w:hRule="atLeast"/>
          <w:jc w:val="center"/>
        </w:trPr>
        <w:tc>
          <w:tcPr>
            <w:tcW w:w="42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013301000090002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麻醉监护下镇静-80周岁及以上患者（加收）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5" w:hRule="atLeast"/>
          <w:jc w:val="center"/>
        </w:trPr>
        <w:tc>
          <w:tcPr>
            <w:tcW w:w="42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013301000100000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连续镇痛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通过储药装置或输注泵进行持续镇痛。</w:t>
            </w:r>
          </w:p>
        </w:tc>
        <w:tc>
          <w:tcPr>
            <w:tcW w:w="318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所定价格涵盖注药、观察、记录、处理用物等步骤所需的人力资源和基本物质资源消耗。</w:t>
            </w:r>
          </w:p>
        </w:tc>
        <w:tc>
          <w:tcPr>
            <w:tcW w:w="12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8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日</w:t>
            </w:r>
          </w:p>
        </w:tc>
        <w:tc>
          <w:tcPr>
            <w:tcW w:w="15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1.本项目不含穿刺、置管费用。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2.连续镇痛包括但不限于椎管内镇痛、静脉连续镇痛、神经阻滞连续镇痛等。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59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54</w:t>
            </w:r>
          </w:p>
        </w:tc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47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604160"/>
    <w:rsid w:val="5A604160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eastAsia="仿宋_GB2312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2025-10-20T02:43:00Z</dcterms:created>
  <dc:creator>王钧瑶</dc:creator>
  <cp:lastModifiedBy>王钧瑶</cp:lastModifiedBy>
  <dcterms:modified xsi:type="dcterms:W3CDTF">2025-10-20T02:44:09Z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